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3C6E7" w14:textId="77777777" w:rsidR="00F4072F" w:rsidRDefault="00F4072F">
      <w:pPr>
        <w:rPr>
          <w:b/>
          <w:u w:val="single"/>
        </w:rPr>
      </w:pPr>
      <w:r>
        <w:rPr>
          <w:b/>
          <w:noProof/>
          <w:u w:val="single"/>
        </w:rPr>
        <w:drawing>
          <wp:anchor distT="0" distB="0" distL="114300" distR="114300" simplePos="0" relativeHeight="251658240" behindDoc="0" locked="0" layoutInCell="1" allowOverlap="1" wp14:anchorId="221CBDA9" wp14:editId="026DB9E6">
            <wp:simplePos x="0" y="0"/>
            <wp:positionH relativeFrom="margin">
              <wp:align>right</wp:align>
            </wp:positionH>
            <wp:positionV relativeFrom="paragraph">
              <wp:posOffset>-518795</wp:posOffset>
            </wp:positionV>
            <wp:extent cx="1885950" cy="9620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U-TLC-Logo_Blue-Gol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85950" cy="962025"/>
                    </a:xfrm>
                    <a:prstGeom prst="rect">
                      <a:avLst/>
                    </a:prstGeom>
                  </pic:spPr>
                </pic:pic>
              </a:graphicData>
            </a:graphic>
          </wp:anchor>
        </w:drawing>
      </w:r>
    </w:p>
    <w:p w14:paraId="4F9F337B" w14:textId="1A37359A" w:rsidR="002D52EA" w:rsidRDefault="004F6AE5" w:rsidP="004F6AE5">
      <w:pPr>
        <w:pStyle w:val="Heading1"/>
      </w:pPr>
      <w:r>
        <w:t>High Impact Practices in Course Design</w:t>
      </w:r>
    </w:p>
    <w:p w14:paraId="67FF6272" w14:textId="77777777" w:rsidR="004F6AE5" w:rsidRDefault="004F6AE5" w:rsidP="004F6AE5">
      <w:pPr>
        <w:pStyle w:val="NormalWeb"/>
        <w:rPr>
          <w:rFonts w:ascii="Helvetica" w:hAnsi="Helvetica" w:cs="Helvetica"/>
          <w:color w:val="4C4C4C"/>
        </w:rPr>
      </w:pPr>
      <w:r>
        <w:rPr>
          <w:rFonts w:ascii="Helvetica" w:hAnsi="Helvetica" w:cs="Helvetica"/>
          <w:color w:val="4C4C4C"/>
        </w:rPr>
        <w:t>College courses often involve lectures and group discussions. And to assess learning, undergraduate courses typically rely on frequent quizzes and a final exam. While these widely used activities can be efficacious, consider delivering your course with one or more "High Impact Practices" (HIPs) (</w:t>
      </w:r>
      <w:proofErr w:type="spellStart"/>
      <w:r>
        <w:rPr>
          <w:rFonts w:ascii="Helvetica" w:hAnsi="Helvetica" w:cs="Helvetica"/>
          <w:color w:val="4C4C4C"/>
        </w:rPr>
        <w:t>Kuh</w:t>
      </w:r>
      <w:proofErr w:type="spellEnd"/>
      <w:r>
        <w:rPr>
          <w:rFonts w:ascii="Helvetica" w:hAnsi="Helvetica" w:cs="Helvetica"/>
          <w:color w:val="4C4C4C"/>
        </w:rPr>
        <w:t>, 2008):</w:t>
      </w:r>
    </w:p>
    <w:p w14:paraId="4B70A3ED" w14:textId="77777777" w:rsidR="004F6AE5" w:rsidRDefault="004F6AE5" w:rsidP="004F6AE5">
      <w:pPr>
        <w:numPr>
          <w:ilvl w:val="0"/>
          <w:numId w:val="3"/>
        </w:numPr>
        <w:spacing w:after="0" w:line="240" w:lineRule="auto"/>
        <w:rPr>
          <w:rFonts w:ascii="Helvetica" w:hAnsi="Helvetica" w:cs="Helvetica"/>
          <w:color w:val="4C4C4C"/>
        </w:rPr>
      </w:pPr>
    </w:p>
    <w:p w14:paraId="3B4DA63F" w14:textId="77777777" w:rsidR="004F6AE5" w:rsidRDefault="004F6AE5" w:rsidP="004F6AE5">
      <w:pPr>
        <w:numPr>
          <w:ilvl w:val="1"/>
          <w:numId w:val="3"/>
        </w:numPr>
        <w:spacing w:after="0" w:line="240" w:lineRule="auto"/>
        <w:rPr>
          <w:rFonts w:ascii="Helvetica" w:hAnsi="Helvetica" w:cs="Helvetica"/>
          <w:color w:val="4C4C4C"/>
        </w:rPr>
      </w:pPr>
      <w:r>
        <w:rPr>
          <w:rFonts w:ascii="Helvetica" w:hAnsi="Helvetica" w:cs="Helvetica"/>
          <w:color w:val="4C4C4C"/>
        </w:rPr>
        <w:t>Common Intellectual Experiences</w:t>
      </w:r>
    </w:p>
    <w:p w14:paraId="2CEF8EFD" w14:textId="77777777" w:rsidR="004F6AE5" w:rsidRDefault="004F6AE5" w:rsidP="004F6AE5">
      <w:pPr>
        <w:numPr>
          <w:ilvl w:val="1"/>
          <w:numId w:val="3"/>
        </w:numPr>
        <w:spacing w:after="0" w:line="240" w:lineRule="auto"/>
        <w:rPr>
          <w:rFonts w:ascii="Helvetica" w:hAnsi="Helvetica" w:cs="Helvetica"/>
          <w:color w:val="4C4C4C"/>
        </w:rPr>
      </w:pPr>
      <w:r>
        <w:rPr>
          <w:rFonts w:ascii="Helvetica" w:hAnsi="Helvetica" w:cs="Helvetica"/>
          <w:color w:val="4C4C4C"/>
        </w:rPr>
        <w:t>Learning Communities</w:t>
      </w:r>
    </w:p>
    <w:p w14:paraId="7D4D3A0D" w14:textId="77777777" w:rsidR="004F6AE5" w:rsidRDefault="004F6AE5" w:rsidP="004F6AE5">
      <w:pPr>
        <w:numPr>
          <w:ilvl w:val="1"/>
          <w:numId w:val="3"/>
        </w:numPr>
        <w:spacing w:after="0" w:line="240" w:lineRule="auto"/>
        <w:rPr>
          <w:rFonts w:ascii="Helvetica" w:hAnsi="Helvetica" w:cs="Helvetica"/>
          <w:color w:val="4C4C4C"/>
        </w:rPr>
      </w:pPr>
      <w:r>
        <w:rPr>
          <w:rFonts w:ascii="Helvetica" w:hAnsi="Helvetica" w:cs="Helvetica"/>
          <w:color w:val="4C4C4C"/>
        </w:rPr>
        <w:t>Service Learning</w:t>
      </w:r>
    </w:p>
    <w:p w14:paraId="16B90321" w14:textId="77777777" w:rsidR="004F6AE5" w:rsidRDefault="004F6AE5" w:rsidP="004F6AE5">
      <w:pPr>
        <w:numPr>
          <w:ilvl w:val="1"/>
          <w:numId w:val="3"/>
        </w:numPr>
        <w:spacing w:after="0" w:line="240" w:lineRule="auto"/>
        <w:rPr>
          <w:rFonts w:ascii="Helvetica" w:hAnsi="Helvetica" w:cs="Helvetica"/>
          <w:color w:val="4C4C4C"/>
        </w:rPr>
      </w:pPr>
      <w:r>
        <w:rPr>
          <w:rFonts w:ascii="Helvetica" w:hAnsi="Helvetica" w:cs="Helvetica"/>
          <w:color w:val="4C4C4C"/>
        </w:rPr>
        <w:t>First Year Seminar</w:t>
      </w:r>
    </w:p>
    <w:p w14:paraId="52B9CCF3" w14:textId="77777777" w:rsidR="004F6AE5" w:rsidRDefault="004F6AE5" w:rsidP="004F6AE5">
      <w:pPr>
        <w:numPr>
          <w:ilvl w:val="1"/>
          <w:numId w:val="3"/>
        </w:numPr>
        <w:spacing w:after="0" w:line="240" w:lineRule="auto"/>
        <w:rPr>
          <w:rFonts w:ascii="Helvetica" w:hAnsi="Helvetica" w:cs="Helvetica"/>
          <w:color w:val="4C4C4C"/>
        </w:rPr>
      </w:pPr>
      <w:r>
        <w:rPr>
          <w:rFonts w:ascii="Helvetica" w:hAnsi="Helvetica" w:cs="Helvetica"/>
          <w:color w:val="4C4C4C"/>
        </w:rPr>
        <w:t>Internships</w:t>
      </w:r>
    </w:p>
    <w:p w14:paraId="3CF85673" w14:textId="77777777" w:rsidR="004F6AE5" w:rsidRDefault="004F6AE5" w:rsidP="004F6AE5">
      <w:pPr>
        <w:numPr>
          <w:ilvl w:val="1"/>
          <w:numId w:val="3"/>
        </w:numPr>
        <w:spacing w:after="0" w:line="240" w:lineRule="auto"/>
        <w:rPr>
          <w:rFonts w:ascii="Helvetica" w:hAnsi="Helvetica" w:cs="Helvetica"/>
          <w:color w:val="4C4C4C"/>
        </w:rPr>
      </w:pPr>
      <w:r>
        <w:rPr>
          <w:rFonts w:ascii="Helvetica" w:hAnsi="Helvetica" w:cs="Helvetica"/>
          <w:color w:val="4C4C4C"/>
        </w:rPr>
        <w:t>Diversity, Global learning</w:t>
      </w:r>
    </w:p>
    <w:p w14:paraId="1E196141" w14:textId="77777777" w:rsidR="004F6AE5" w:rsidRDefault="004F6AE5" w:rsidP="004F6AE5">
      <w:pPr>
        <w:numPr>
          <w:ilvl w:val="1"/>
          <w:numId w:val="3"/>
        </w:numPr>
        <w:spacing w:after="0" w:line="240" w:lineRule="auto"/>
        <w:rPr>
          <w:rFonts w:ascii="Helvetica" w:hAnsi="Helvetica" w:cs="Helvetica"/>
          <w:color w:val="4C4C4C"/>
        </w:rPr>
      </w:pPr>
      <w:r>
        <w:rPr>
          <w:rFonts w:ascii="Helvetica" w:hAnsi="Helvetica" w:cs="Helvetica"/>
          <w:color w:val="4C4C4C"/>
        </w:rPr>
        <w:t>Capstone Projects</w:t>
      </w:r>
    </w:p>
    <w:p w14:paraId="4EB4CE88" w14:textId="77777777" w:rsidR="004F6AE5" w:rsidRDefault="004F6AE5" w:rsidP="004F6AE5">
      <w:pPr>
        <w:numPr>
          <w:ilvl w:val="1"/>
          <w:numId w:val="3"/>
        </w:numPr>
        <w:spacing w:after="0" w:line="240" w:lineRule="auto"/>
        <w:rPr>
          <w:rFonts w:ascii="Helvetica" w:hAnsi="Helvetica" w:cs="Helvetica"/>
          <w:color w:val="4C4C4C"/>
        </w:rPr>
      </w:pPr>
      <w:r>
        <w:rPr>
          <w:rFonts w:ascii="Helvetica" w:hAnsi="Helvetica" w:cs="Helvetica"/>
          <w:color w:val="4C4C4C"/>
        </w:rPr>
        <w:t>Undergraduate Research</w:t>
      </w:r>
    </w:p>
    <w:p w14:paraId="09642208" w14:textId="77777777" w:rsidR="004F6AE5" w:rsidRDefault="004F6AE5" w:rsidP="004F6AE5">
      <w:pPr>
        <w:numPr>
          <w:ilvl w:val="1"/>
          <w:numId w:val="3"/>
        </w:numPr>
        <w:spacing w:after="0" w:line="240" w:lineRule="auto"/>
        <w:rPr>
          <w:rFonts w:ascii="Helvetica" w:hAnsi="Helvetica" w:cs="Helvetica"/>
          <w:color w:val="4C4C4C"/>
        </w:rPr>
      </w:pPr>
      <w:r>
        <w:rPr>
          <w:rFonts w:ascii="Helvetica" w:hAnsi="Helvetica" w:cs="Helvetica"/>
          <w:color w:val="4C4C4C"/>
        </w:rPr>
        <w:t>Writing-intensive courses</w:t>
      </w:r>
    </w:p>
    <w:p w14:paraId="617A5296" w14:textId="77777777" w:rsidR="004F6AE5" w:rsidRDefault="004F6AE5" w:rsidP="004F6AE5">
      <w:pPr>
        <w:numPr>
          <w:ilvl w:val="1"/>
          <w:numId w:val="3"/>
        </w:numPr>
        <w:spacing w:after="0" w:line="240" w:lineRule="auto"/>
        <w:rPr>
          <w:rFonts w:ascii="Helvetica" w:hAnsi="Helvetica" w:cs="Helvetica"/>
          <w:color w:val="4C4C4C"/>
        </w:rPr>
      </w:pPr>
      <w:r>
        <w:rPr>
          <w:rFonts w:ascii="Helvetica" w:hAnsi="Helvetica" w:cs="Helvetica"/>
          <w:color w:val="4C4C4C"/>
        </w:rPr>
        <w:t>Collaborative assignments and projects</w:t>
      </w:r>
    </w:p>
    <w:p w14:paraId="2CBF41D9" w14:textId="77777777" w:rsidR="004F6AE5" w:rsidRDefault="004F6AE5" w:rsidP="004F6AE5">
      <w:pPr>
        <w:numPr>
          <w:ilvl w:val="1"/>
          <w:numId w:val="3"/>
        </w:numPr>
        <w:spacing w:after="0" w:line="240" w:lineRule="auto"/>
        <w:rPr>
          <w:rFonts w:ascii="Helvetica" w:hAnsi="Helvetica" w:cs="Helvetica"/>
          <w:color w:val="4C4C4C"/>
        </w:rPr>
      </w:pPr>
      <w:r>
        <w:rPr>
          <w:rFonts w:ascii="Helvetica" w:hAnsi="Helvetica" w:cs="Helvetica"/>
          <w:color w:val="4C4C4C"/>
        </w:rPr>
        <w:t>e-Portfolios</w:t>
      </w:r>
    </w:p>
    <w:p w14:paraId="404DF740" w14:textId="77777777" w:rsidR="004F6AE5" w:rsidRDefault="004F6AE5" w:rsidP="004F6AE5">
      <w:pPr>
        <w:pStyle w:val="NormalWeb"/>
        <w:rPr>
          <w:rFonts w:ascii="Helvetica" w:hAnsi="Helvetica" w:cs="Helvetica"/>
          <w:color w:val="4C4C4C"/>
        </w:rPr>
      </w:pPr>
      <w:r>
        <w:rPr>
          <w:rFonts w:ascii="Helvetica" w:hAnsi="Helvetica" w:cs="Helvetica"/>
          <w:color w:val="4C4C4C"/>
        </w:rPr>
        <w:t>The Association of American Colleges and Universities (AACU) takes note of HIPs because, compared to their peers, students who participate it at least one HIP are more engaged in their learning (Watson et al., 2016. p. 65) as measured by the National Survey of Student Engagement (NSSE).</w:t>
      </w:r>
      <w:r>
        <w:rPr>
          <w:rFonts w:ascii="Arial" w:hAnsi="Arial" w:cs="Arial"/>
          <w:color w:val="4C4C4C"/>
          <w:sz w:val="25"/>
          <w:szCs w:val="25"/>
        </w:rPr>
        <w:t> </w:t>
      </w:r>
      <w:r>
        <w:rPr>
          <w:rFonts w:ascii="Helvetica" w:hAnsi="Helvetica" w:cs="Helvetica"/>
          <w:color w:val="4C4C4C"/>
        </w:rPr>
        <w:t>Each of the HIPs above has one or more of the following characteristics (</w:t>
      </w:r>
      <w:proofErr w:type="spellStart"/>
      <w:r>
        <w:rPr>
          <w:rFonts w:ascii="Helvetica" w:hAnsi="Helvetica" w:cs="Helvetica"/>
          <w:color w:val="4C4C4C"/>
        </w:rPr>
        <w:t>Kuh</w:t>
      </w:r>
      <w:proofErr w:type="spellEnd"/>
      <w:r>
        <w:rPr>
          <w:rFonts w:ascii="Helvetica" w:hAnsi="Helvetica" w:cs="Helvetica"/>
          <w:color w:val="4C4C4C"/>
        </w:rPr>
        <w:t xml:space="preserve"> and O'Donnell, 2013, p. 10):</w:t>
      </w:r>
    </w:p>
    <w:p w14:paraId="0A132ECA" w14:textId="77777777" w:rsidR="004F6AE5" w:rsidRDefault="004F6AE5" w:rsidP="004F6AE5">
      <w:pPr>
        <w:numPr>
          <w:ilvl w:val="0"/>
          <w:numId w:val="4"/>
        </w:numPr>
        <w:spacing w:after="0" w:line="240" w:lineRule="auto"/>
        <w:rPr>
          <w:rFonts w:ascii="Helvetica" w:hAnsi="Helvetica" w:cs="Helvetica"/>
          <w:color w:val="4C4C4C"/>
        </w:rPr>
      </w:pPr>
      <w:r>
        <w:rPr>
          <w:rFonts w:ascii="Helvetica" w:hAnsi="Helvetica" w:cs="Helvetica"/>
          <w:color w:val="4C4C4C"/>
        </w:rPr>
        <w:t>Exposure to diverse beliefs</w:t>
      </w:r>
    </w:p>
    <w:p w14:paraId="1CF6BB60" w14:textId="77777777" w:rsidR="004F6AE5" w:rsidRDefault="004F6AE5" w:rsidP="004F6AE5">
      <w:pPr>
        <w:numPr>
          <w:ilvl w:val="0"/>
          <w:numId w:val="4"/>
        </w:numPr>
        <w:spacing w:after="0" w:line="240" w:lineRule="auto"/>
        <w:rPr>
          <w:rFonts w:ascii="Helvetica" w:hAnsi="Helvetica" w:cs="Helvetica"/>
          <w:color w:val="4C4C4C"/>
        </w:rPr>
      </w:pPr>
      <w:r>
        <w:rPr>
          <w:rFonts w:ascii="Helvetica" w:hAnsi="Helvetica" w:cs="Helvetica"/>
          <w:color w:val="4C4C4C"/>
        </w:rPr>
        <w:t>Prompt feedback</w:t>
      </w:r>
    </w:p>
    <w:p w14:paraId="407F09FF" w14:textId="77777777" w:rsidR="004F6AE5" w:rsidRDefault="004F6AE5" w:rsidP="004F6AE5">
      <w:pPr>
        <w:numPr>
          <w:ilvl w:val="0"/>
          <w:numId w:val="4"/>
        </w:numPr>
        <w:spacing w:after="0" w:line="240" w:lineRule="auto"/>
        <w:rPr>
          <w:rFonts w:ascii="Helvetica" w:hAnsi="Helvetica" w:cs="Helvetica"/>
          <w:color w:val="4C4C4C"/>
        </w:rPr>
      </w:pPr>
      <w:r>
        <w:rPr>
          <w:rFonts w:ascii="Helvetica" w:hAnsi="Helvetica" w:cs="Helvetica"/>
          <w:color w:val="4C4C4C"/>
        </w:rPr>
        <w:t>Integration of learning across courses</w:t>
      </w:r>
    </w:p>
    <w:p w14:paraId="64AF5759" w14:textId="77777777" w:rsidR="004F6AE5" w:rsidRDefault="004F6AE5" w:rsidP="004F6AE5">
      <w:pPr>
        <w:numPr>
          <w:ilvl w:val="0"/>
          <w:numId w:val="4"/>
        </w:numPr>
        <w:spacing w:after="0" w:line="240" w:lineRule="auto"/>
        <w:rPr>
          <w:rFonts w:ascii="Helvetica" w:hAnsi="Helvetica" w:cs="Helvetica"/>
          <w:color w:val="4C4C4C"/>
        </w:rPr>
      </w:pPr>
      <w:r>
        <w:rPr>
          <w:rFonts w:ascii="Helvetica" w:hAnsi="Helvetica" w:cs="Helvetica"/>
          <w:color w:val="4C4C4C"/>
        </w:rPr>
        <w:t>Student-faculty interaction on meaningful content</w:t>
      </w:r>
    </w:p>
    <w:p w14:paraId="35B6D7C3" w14:textId="77777777" w:rsidR="004F6AE5" w:rsidRDefault="004F6AE5" w:rsidP="004F6AE5">
      <w:pPr>
        <w:numPr>
          <w:ilvl w:val="0"/>
          <w:numId w:val="4"/>
        </w:numPr>
        <w:spacing w:after="0" w:line="240" w:lineRule="auto"/>
        <w:rPr>
          <w:rFonts w:ascii="Helvetica" w:hAnsi="Helvetica" w:cs="Helvetica"/>
          <w:color w:val="4C4C4C"/>
        </w:rPr>
      </w:pPr>
      <w:r>
        <w:rPr>
          <w:rFonts w:ascii="Helvetica" w:hAnsi="Helvetica" w:cs="Helvetica"/>
          <w:color w:val="4C4C4C"/>
        </w:rPr>
        <w:t>Significant investment from students</w:t>
      </w:r>
    </w:p>
    <w:p w14:paraId="428012EE" w14:textId="77777777" w:rsidR="004F6AE5" w:rsidRDefault="004F6AE5" w:rsidP="004F6AE5">
      <w:pPr>
        <w:numPr>
          <w:ilvl w:val="0"/>
          <w:numId w:val="4"/>
        </w:numPr>
        <w:spacing w:after="0" w:line="240" w:lineRule="auto"/>
        <w:rPr>
          <w:rFonts w:ascii="Helvetica" w:hAnsi="Helvetica" w:cs="Helvetica"/>
          <w:color w:val="4C4C4C"/>
        </w:rPr>
      </w:pPr>
      <w:r>
        <w:rPr>
          <w:rFonts w:ascii="Helvetica" w:hAnsi="Helvetica" w:cs="Helvetica"/>
          <w:color w:val="4C4C4C"/>
        </w:rPr>
        <w:t>High expectations of students</w:t>
      </w:r>
    </w:p>
    <w:p w14:paraId="46630C0D" w14:textId="77777777" w:rsidR="004F6AE5" w:rsidRDefault="004F6AE5" w:rsidP="004F6AE5">
      <w:pPr>
        <w:numPr>
          <w:ilvl w:val="0"/>
          <w:numId w:val="4"/>
        </w:numPr>
        <w:spacing w:after="0" w:line="240" w:lineRule="auto"/>
        <w:rPr>
          <w:rFonts w:ascii="Helvetica" w:hAnsi="Helvetica" w:cs="Helvetica"/>
          <w:color w:val="4C4C4C"/>
        </w:rPr>
      </w:pPr>
      <w:r>
        <w:rPr>
          <w:rFonts w:ascii="Helvetica" w:hAnsi="Helvetica" w:cs="Helvetica"/>
          <w:color w:val="4C4C4C"/>
        </w:rPr>
        <w:t>Demonstration of competence</w:t>
      </w:r>
    </w:p>
    <w:p w14:paraId="60D23586" w14:textId="77777777" w:rsidR="004F6AE5" w:rsidRDefault="004F6AE5" w:rsidP="004F6AE5">
      <w:pPr>
        <w:numPr>
          <w:ilvl w:val="0"/>
          <w:numId w:val="4"/>
        </w:numPr>
        <w:spacing w:after="0" w:line="240" w:lineRule="auto"/>
        <w:rPr>
          <w:rFonts w:ascii="Helvetica" w:hAnsi="Helvetica" w:cs="Helvetica"/>
          <w:color w:val="4C4C4C"/>
        </w:rPr>
      </w:pPr>
      <w:r>
        <w:rPr>
          <w:rFonts w:ascii="Helvetica" w:hAnsi="Helvetica" w:cs="Helvetica"/>
          <w:color w:val="4C4C4C"/>
        </w:rPr>
        <w:t>Application to real life</w:t>
      </w:r>
    </w:p>
    <w:p w14:paraId="7B5C379C" w14:textId="77777777" w:rsidR="004F6AE5" w:rsidRDefault="004F6AE5" w:rsidP="004F6AE5">
      <w:pPr>
        <w:pStyle w:val="NormalWeb"/>
        <w:rPr>
          <w:rFonts w:ascii="Helvetica" w:hAnsi="Helvetica" w:cs="Helvetica"/>
          <w:color w:val="4C4C4C"/>
        </w:rPr>
      </w:pPr>
      <w:r>
        <w:rPr>
          <w:rFonts w:ascii="Helvetica" w:hAnsi="Helvetica" w:cs="Helvetica"/>
          <w:color w:val="4C4C4C"/>
        </w:rPr>
        <w:t xml:space="preserve">In fact, some HIPs capture several or </w:t>
      </w:r>
      <w:proofErr w:type="gramStart"/>
      <w:r>
        <w:rPr>
          <w:rFonts w:ascii="Helvetica" w:hAnsi="Helvetica" w:cs="Helvetica"/>
          <w:color w:val="4C4C4C"/>
        </w:rPr>
        <w:t>all of</w:t>
      </w:r>
      <w:proofErr w:type="gramEnd"/>
      <w:r>
        <w:rPr>
          <w:rFonts w:ascii="Helvetica" w:hAnsi="Helvetica" w:cs="Helvetica"/>
          <w:color w:val="4C4C4C"/>
        </w:rPr>
        <w:t xml:space="preserve"> these characteristics. A capstone project, for example, may involve all of these.</w:t>
      </w:r>
    </w:p>
    <w:p w14:paraId="1BCE4506" w14:textId="77777777" w:rsidR="004F6AE5" w:rsidRDefault="004F6AE5" w:rsidP="004F6AE5">
      <w:pPr>
        <w:pStyle w:val="Heading4"/>
        <w:rPr>
          <w:rFonts w:ascii="Helvetica" w:hAnsi="Helvetica" w:cs="Helvetica"/>
          <w:color w:val="4C4C4C"/>
        </w:rPr>
      </w:pPr>
      <w:r>
        <w:rPr>
          <w:rFonts w:ascii="Helvetica" w:hAnsi="Helvetica" w:cs="Helvetica"/>
          <w:color w:val="4C4C4C"/>
        </w:rPr>
        <w:lastRenderedPageBreak/>
        <w:t>Click </w:t>
      </w:r>
      <w:hyperlink r:id="rId6" w:history="1">
        <w:r>
          <w:rPr>
            <w:rStyle w:val="Hyperlink"/>
            <w:rFonts w:ascii="Helvetica" w:hAnsi="Helvetica" w:cs="Helvetica"/>
            <w:color w:val="2199E8"/>
            <w:u w:val="none"/>
          </w:rPr>
          <w:t>here</w:t>
        </w:r>
      </w:hyperlink>
      <w:r>
        <w:rPr>
          <w:rFonts w:ascii="Helvetica" w:hAnsi="Helvetica" w:cs="Helvetica"/>
          <w:color w:val="4C4C4C"/>
        </w:rPr>
        <w:t> to see examples of each of these HIPs, and to discover research on how they lead to student achievement.</w:t>
      </w:r>
    </w:p>
    <w:p w14:paraId="4EDEEF33" w14:textId="77777777" w:rsidR="004F6AE5" w:rsidRDefault="004F6AE5" w:rsidP="004F6AE5">
      <w:pPr>
        <w:pStyle w:val="Heading5"/>
        <w:rPr>
          <w:rStyle w:val="markedcontent"/>
          <w:rFonts w:ascii="Arial" w:hAnsi="Arial" w:cs="Arial"/>
          <w:color w:val="4C4C4C"/>
          <w:sz w:val="19"/>
          <w:szCs w:val="19"/>
        </w:rPr>
      </w:pPr>
    </w:p>
    <w:p w14:paraId="6B433954" w14:textId="6538CB5F" w:rsidR="004F6AE5" w:rsidRPr="004F6AE5" w:rsidRDefault="004F6AE5" w:rsidP="004F6AE5">
      <w:pPr>
        <w:pStyle w:val="Heading3"/>
      </w:pPr>
      <w:r w:rsidRPr="004F6AE5">
        <w:rPr>
          <w:rStyle w:val="markedcontent"/>
        </w:rPr>
        <w:t>References</w:t>
      </w:r>
    </w:p>
    <w:p w14:paraId="0CFB432E" w14:textId="77777777" w:rsidR="004F6AE5" w:rsidRDefault="004F6AE5" w:rsidP="004F6AE5">
      <w:pPr>
        <w:pStyle w:val="Heading6"/>
        <w:numPr>
          <w:ilvl w:val="0"/>
          <w:numId w:val="5"/>
        </w:numPr>
        <w:tabs>
          <w:tab w:val="clear" w:pos="720"/>
        </w:tabs>
        <w:rPr>
          <w:rFonts w:ascii="Helvetica" w:hAnsi="Helvetica" w:cs="Helvetica"/>
          <w:color w:val="4C4C4C"/>
        </w:rPr>
      </w:pPr>
      <w:proofErr w:type="spellStart"/>
      <w:r>
        <w:rPr>
          <w:rFonts w:ascii="Helvetica" w:hAnsi="Helvetica" w:cs="Helvetica"/>
          <w:color w:val="4C4C4C"/>
        </w:rPr>
        <w:t>Kuh</w:t>
      </w:r>
      <w:proofErr w:type="spellEnd"/>
      <w:r>
        <w:rPr>
          <w:rFonts w:ascii="Helvetica" w:hAnsi="Helvetica" w:cs="Helvetica"/>
          <w:color w:val="4C4C4C"/>
        </w:rPr>
        <w:t>, George D. (2008). High-Impact Educational Practices: What They Are, Who Has Access to Them, and Why They Matter. American Association of Colleges &amp; Universities.</w:t>
      </w:r>
    </w:p>
    <w:p w14:paraId="1E4CF256" w14:textId="77777777" w:rsidR="004F6AE5" w:rsidRDefault="004F6AE5" w:rsidP="004F6AE5">
      <w:pPr>
        <w:pStyle w:val="Heading6"/>
        <w:numPr>
          <w:ilvl w:val="0"/>
          <w:numId w:val="5"/>
        </w:numPr>
        <w:tabs>
          <w:tab w:val="clear" w:pos="720"/>
        </w:tabs>
        <w:rPr>
          <w:rFonts w:ascii="Helvetica" w:hAnsi="Helvetica" w:cs="Helvetica"/>
          <w:color w:val="4C4C4C"/>
        </w:rPr>
      </w:pPr>
      <w:proofErr w:type="spellStart"/>
      <w:r>
        <w:rPr>
          <w:rFonts w:ascii="Helvetica" w:hAnsi="Helvetica" w:cs="Helvetica"/>
          <w:color w:val="4C4C4C"/>
        </w:rPr>
        <w:t>Kuh</w:t>
      </w:r>
      <w:proofErr w:type="spellEnd"/>
      <w:r>
        <w:rPr>
          <w:rFonts w:ascii="Helvetica" w:hAnsi="Helvetica" w:cs="Helvetica"/>
          <w:color w:val="4C4C4C"/>
        </w:rPr>
        <w:t>, G. D., O’Donnell, K., &amp; Reed, S. (2013). Ensuring Quality and Taking High-Impact Practices to Scale. Washington DC: Association of American Colleges and Universities.</w:t>
      </w:r>
      <w:r>
        <w:rPr>
          <w:rFonts w:ascii="Helvetica" w:hAnsi="Helvetica" w:cs="Helvetica"/>
          <w:color w:val="4C4C4C"/>
        </w:rPr>
        <w:br/>
      </w:r>
    </w:p>
    <w:p w14:paraId="08F990AE" w14:textId="77777777" w:rsidR="004F6AE5" w:rsidRDefault="004F6AE5" w:rsidP="004F6AE5">
      <w:pPr>
        <w:pStyle w:val="Heading6"/>
        <w:numPr>
          <w:ilvl w:val="0"/>
          <w:numId w:val="5"/>
        </w:numPr>
        <w:tabs>
          <w:tab w:val="clear" w:pos="720"/>
        </w:tabs>
        <w:rPr>
          <w:rFonts w:ascii="Helvetica" w:hAnsi="Helvetica" w:cs="Helvetica"/>
          <w:color w:val="4C4C4C"/>
        </w:rPr>
      </w:pPr>
      <w:r>
        <w:rPr>
          <w:rStyle w:val="highlight"/>
          <w:rFonts w:ascii="Arial" w:hAnsi="Arial" w:cs="Arial"/>
          <w:color w:val="4C4C4C"/>
          <w:sz w:val="25"/>
          <w:szCs w:val="25"/>
        </w:rPr>
        <w:t>Watson</w:t>
      </w:r>
      <w:r>
        <w:rPr>
          <w:rFonts w:ascii="Arial" w:hAnsi="Arial" w:cs="Arial"/>
          <w:color w:val="4C4C4C"/>
          <w:sz w:val="25"/>
          <w:szCs w:val="25"/>
        </w:rPr>
        <w:t xml:space="preserve">, C. E., </w:t>
      </w:r>
      <w:proofErr w:type="spellStart"/>
      <w:r>
        <w:rPr>
          <w:rFonts w:ascii="Arial" w:hAnsi="Arial" w:cs="Arial"/>
          <w:color w:val="4C4C4C"/>
          <w:sz w:val="25"/>
          <w:szCs w:val="25"/>
        </w:rPr>
        <w:t>Kuh</w:t>
      </w:r>
      <w:proofErr w:type="spellEnd"/>
      <w:r>
        <w:rPr>
          <w:rFonts w:ascii="Arial" w:hAnsi="Arial" w:cs="Arial"/>
          <w:color w:val="4C4C4C"/>
          <w:sz w:val="25"/>
          <w:szCs w:val="25"/>
        </w:rPr>
        <w:t xml:space="preserve">, G. D., Rhodes, T., Light, T. P., and Chen, H. L. (2016). Editorial: </w:t>
      </w:r>
      <w:proofErr w:type="spellStart"/>
      <w:r>
        <w:rPr>
          <w:rFonts w:ascii="Arial" w:hAnsi="Arial" w:cs="Arial"/>
          <w:color w:val="4C4C4C"/>
          <w:sz w:val="25"/>
          <w:szCs w:val="25"/>
        </w:rPr>
        <w:t>ePortfolios</w:t>
      </w:r>
      <w:proofErr w:type="spellEnd"/>
      <w:r>
        <w:rPr>
          <w:rFonts w:ascii="Arial" w:hAnsi="Arial" w:cs="Arial"/>
          <w:color w:val="4C4C4C"/>
          <w:sz w:val="25"/>
          <w:szCs w:val="25"/>
        </w:rPr>
        <w:t>: The eleventh high-impact practice.</w:t>
      </w:r>
      <w:r>
        <w:rPr>
          <w:rStyle w:val="Emphasis"/>
          <w:rFonts w:ascii="Arial" w:hAnsi="Arial" w:cs="Arial"/>
          <w:color w:val="4C4C4C"/>
          <w:sz w:val="25"/>
          <w:szCs w:val="25"/>
        </w:rPr>
        <w:t> International Journal of ePortfolio, 6</w:t>
      </w:r>
      <w:r>
        <w:rPr>
          <w:rFonts w:ascii="Arial" w:hAnsi="Arial" w:cs="Arial"/>
          <w:color w:val="4C4C4C"/>
          <w:sz w:val="25"/>
          <w:szCs w:val="25"/>
        </w:rPr>
        <w:t>(2), 65-69. </w:t>
      </w:r>
      <w:hyperlink r:id="rId7" w:history="1">
        <w:r>
          <w:rPr>
            <w:rStyle w:val="Hyperlink"/>
            <w:rFonts w:ascii="Arial" w:hAnsi="Arial" w:cs="Arial"/>
            <w:color w:val="2199E8"/>
            <w:sz w:val="25"/>
            <w:szCs w:val="25"/>
          </w:rPr>
          <w:t>http://www.theijep.com/pdf/IJEP254.pdf</w:t>
        </w:r>
      </w:hyperlink>
    </w:p>
    <w:p w14:paraId="2C8915F9" w14:textId="77777777" w:rsidR="00F4072F" w:rsidRPr="00F4072F" w:rsidRDefault="00F4072F" w:rsidP="004F6AE5"/>
    <w:sectPr w:rsidR="00F4072F" w:rsidRPr="00F407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72A87"/>
    <w:multiLevelType w:val="hybridMultilevel"/>
    <w:tmpl w:val="AE3A9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54A9B"/>
    <w:multiLevelType w:val="multilevel"/>
    <w:tmpl w:val="DA4C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1B7D47"/>
    <w:multiLevelType w:val="hybridMultilevel"/>
    <w:tmpl w:val="9DCC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5F5E5B"/>
    <w:multiLevelType w:val="multilevel"/>
    <w:tmpl w:val="3A3ED6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2F5799"/>
    <w:multiLevelType w:val="multilevel"/>
    <w:tmpl w:val="C412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0482913">
    <w:abstractNumId w:val="2"/>
  </w:num>
  <w:num w:numId="2" w16cid:durableId="1265915860">
    <w:abstractNumId w:val="0"/>
  </w:num>
  <w:num w:numId="3" w16cid:durableId="1503356863">
    <w:abstractNumId w:val="3"/>
  </w:num>
  <w:num w:numId="4" w16cid:durableId="1246918954">
    <w:abstractNumId w:val="4"/>
  </w:num>
  <w:num w:numId="5" w16cid:durableId="1389721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72F"/>
    <w:rsid w:val="00077723"/>
    <w:rsid w:val="00290444"/>
    <w:rsid w:val="002D52EA"/>
    <w:rsid w:val="003705C1"/>
    <w:rsid w:val="004F6AE5"/>
    <w:rsid w:val="005F2880"/>
    <w:rsid w:val="00611595"/>
    <w:rsid w:val="007C77BD"/>
    <w:rsid w:val="00951E5E"/>
    <w:rsid w:val="00B54E55"/>
    <w:rsid w:val="00C81E38"/>
    <w:rsid w:val="00CE54CD"/>
    <w:rsid w:val="00DA5B4A"/>
    <w:rsid w:val="00F40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38F2E"/>
  <w15:chartTrackingRefBased/>
  <w15:docId w15:val="{E96F4756-CD8C-45A8-B600-D262AA0F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ajorBidi"/>
        <w:i/>
        <w:iCs/>
        <w:color w:val="2E74B5" w:themeColor="accent1" w:themeShade="BF"/>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E5E"/>
    <w:rPr>
      <w:i w:val="0"/>
      <w:color w:val="auto"/>
    </w:rPr>
  </w:style>
  <w:style w:type="paragraph" w:styleId="Heading1">
    <w:name w:val="heading 1"/>
    <w:basedOn w:val="Normal"/>
    <w:next w:val="Normal"/>
    <w:link w:val="Heading1Char"/>
    <w:uiPriority w:val="9"/>
    <w:qFormat/>
    <w:rsid w:val="004F6AE5"/>
    <w:pPr>
      <w:keepNext/>
      <w:keepLines/>
      <w:spacing w:before="240" w:after="0"/>
      <w:outlineLvl w:val="0"/>
    </w:pPr>
    <w:rPr>
      <w:rFonts w:asciiTheme="majorHAnsi" w:eastAsiaTheme="majorEastAsia" w:hAnsiTheme="majorHAnsi"/>
      <w:color w:val="2E74B5" w:themeColor="accent1" w:themeShade="BF"/>
      <w:sz w:val="32"/>
      <w:szCs w:val="32"/>
    </w:rPr>
  </w:style>
  <w:style w:type="paragraph" w:styleId="Heading2">
    <w:name w:val="heading 2"/>
    <w:basedOn w:val="Normal"/>
    <w:next w:val="Normal"/>
    <w:link w:val="Heading2Char"/>
    <w:autoRedefine/>
    <w:uiPriority w:val="9"/>
    <w:unhideWhenUsed/>
    <w:qFormat/>
    <w:rsid w:val="004F6AE5"/>
    <w:pPr>
      <w:keepNext/>
      <w:keepLines/>
      <w:spacing w:before="40" w:after="0"/>
      <w:outlineLvl w:val="1"/>
    </w:pPr>
    <w:rPr>
      <w:rFonts w:eastAsiaTheme="majorEastAsia" w:cs="Arial"/>
      <w:b/>
      <w:color w:val="4C4C4C"/>
      <w:sz w:val="19"/>
      <w:szCs w:val="19"/>
    </w:rPr>
  </w:style>
  <w:style w:type="paragraph" w:styleId="Heading3">
    <w:name w:val="heading 3"/>
    <w:basedOn w:val="Normal"/>
    <w:next w:val="Normal"/>
    <w:link w:val="Heading3Char"/>
    <w:autoRedefine/>
    <w:uiPriority w:val="9"/>
    <w:unhideWhenUsed/>
    <w:qFormat/>
    <w:rsid w:val="003705C1"/>
    <w:pPr>
      <w:keepNext/>
      <w:keepLines/>
      <w:spacing w:before="40" w:after="0"/>
      <w:outlineLvl w:val="2"/>
    </w:pPr>
    <w:rPr>
      <w:rFonts w:eastAsia="Times New Roman"/>
      <w:b/>
      <w:szCs w:val="24"/>
      <w:bdr w:val="none" w:sz="0" w:space="0" w:color="auto" w:frame="1"/>
    </w:rPr>
  </w:style>
  <w:style w:type="paragraph" w:styleId="Heading4">
    <w:name w:val="heading 4"/>
    <w:basedOn w:val="Normal"/>
    <w:next w:val="Normal"/>
    <w:link w:val="Heading4Char"/>
    <w:uiPriority w:val="9"/>
    <w:semiHidden/>
    <w:unhideWhenUsed/>
    <w:qFormat/>
    <w:rsid w:val="004F6AE5"/>
    <w:pPr>
      <w:keepNext/>
      <w:keepLines/>
      <w:spacing w:before="40" w:after="0"/>
      <w:outlineLvl w:val="3"/>
    </w:pPr>
    <w:rPr>
      <w:rFonts w:asciiTheme="majorHAnsi" w:eastAsiaTheme="majorEastAsia" w:hAnsiTheme="majorHAnsi"/>
      <w:i/>
      <w:iCs w:val="0"/>
      <w:color w:val="2E74B5" w:themeColor="accent1" w:themeShade="BF"/>
    </w:rPr>
  </w:style>
  <w:style w:type="paragraph" w:styleId="Heading5">
    <w:name w:val="heading 5"/>
    <w:basedOn w:val="Normal"/>
    <w:next w:val="Normal"/>
    <w:link w:val="Heading5Char"/>
    <w:uiPriority w:val="9"/>
    <w:semiHidden/>
    <w:unhideWhenUsed/>
    <w:qFormat/>
    <w:rsid w:val="004F6AE5"/>
    <w:pPr>
      <w:keepNext/>
      <w:keepLines/>
      <w:spacing w:before="40" w:after="0"/>
      <w:outlineLvl w:val="4"/>
    </w:pPr>
    <w:rPr>
      <w:rFonts w:asciiTheme="majorHAnsi" w:eastAsiaTheme="majorEastAsia" w:hAnsiTheme="majorHAnsi"/>
      <w:color w:val="2E74B5" w:themeColor="accent1" w:themeShade="BF"/>
    </w:rPr>
  </w:style>
  <w:style w:type="paragraph" w:styleId="Heading6">
    <w:name w:val="heading 6"/>
    <w:basedOn w:val="Normal"/>
    <w:next w:val="Normal"/>
    <w:link w:val="Heading6Char"/>
    <w:uiPriority w:val="9"/>
    <w:semiHidden/>
    <w:unhideWhenUsed/>
    <w:qFormat/>
    <w:rsid w:val="004F6AE5"/>
    <w:pPr>
      <w:keepNext/>
      <w:keepLines/>
      <w:spacing w:before="40" w:after="0"/>
      <w:outlineLvl w:val="5"/>
    </w:pPr>
    <w:rPr>
      <w:rFonts w:asciiTheme="majorHAnsi" w:eastAsiaTheme="majorEastAsia" w:hAnsiTheme="majorHAns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6AE5"/>
    <w:rPr>
      <w:rFonts w:eastAsiaTheme="majorEastAsia" w:cs="Arial"/>
      <w:b/>
      <w:i w:val="0"/>
      <w:color w:val="4C4C4C"/>
      <w:sz w:val="19"/>
      <w:szCs w:val="19"/>
    </w:rPr>
  </w:style>
  <w:style w:type="character" w:customStyle="1" w:styleId="Heading3Char">
    <w:name w:val="Heading 3 Char"/>
    <w:basedOn w:val="DefaultParagraphFont"/>
    <w:link w:val="Heading3"/>
    <w:uiPriority w:val="9"/>
    <w:rsid w:val="003705C1"/>
    <w:rPr>
      <w:rFonts w:ascii="Arial" w:eastAsia="Times New Roman" w:hAnsi="Arial" w:cstheme="majorBidi"/>
      <w:b/>
      <w:sz w:val="24"/>
      <w:szCs w:val="24"/>
      <w:bdr w:val="none" w:sz="0" w:space="0" w:color="auto" w:frame="1"/>
    </w:rPr>
  </w:style>
  <w:style w:type="paragraph" w:styleId="ListParagraph">
    <w:name w:val="List Paragraph"/>
    <w:basedOn w:val="Normal"/>
    <w:uiPriority w:val="34"/>
    <w:qFormat/>
    <w:rsid w:val="00077723"/>
    <w:pPr>
      <w:ind w:left="720"/>
      <w:contextualSpacing/>
    </w:pPr>
  </w:style>
  <w:style w:type="character" w:styleId="Hyperlink">
    <w:name w:val="Hyperlink"/>
    <w:basedOn w:val="DefaultParagraphFont"/>
    <w:uiPriority w:val="99"/>
    <w:unhideWhenUsed/>
    <w:rsid w:val="007C77BD"/>
    <w:rPr>
      <w:color w:val="0563C1" w:themeColor="hyperlink"/>
      <w:u w:val="single"/>
    </w:rPr>
  </w:style>
  <w:style w:type="character" w:styleId="UnresolvedMention">
    <w:name w:val="Unresolved Mention"/>
    <w:basedOn w:val="DefaultParagraphFont"/>
    <w:uiPriority w:val="99"/>
    <w:semiHidden/>
    <w:unhideWhenUsed/>
    <w:rsid w:val="007C77BD"/>
    <w:rPr>
      <w:color w:val="605E5C"/>
      <w:shd w:val="clear" w:color="auto" w:fill="E1DFDD"/>
    </w:rPr>
  </w:style>
  <w:style w:type="character" w:customStyle="1" w:styleId="Heading1Char">
    <w:name w:val="Heading 1 Char"/>
    <w:basedOn w:val="DefaultParagraphFont"/>
    <w:link w:val="Heading1"/>
    <w:uiPriority w:val="9"/>
    <w:rsid w:val="004F6AE5"/>
    <w:rPr>
      <w:rFonts w:asciiTheme="majorHAnsi" w:eastAsiaTheme="majorEastAsia" w:hAnsiTheme="majorHAnsi"/>
      <w:i w:val="0"/>
      <w:sz w:val="32"/>
      <w:szCs w:val="32"/>
    </w:rPr>
  </w:style>
  <w:style w:type="character" w:customStyle="1" w:styleId="Heading4Char">
    <w:name w:val="Heading 4 Char"/>
    <w:basedOn w:val="DefaultParagraphFont"/>
    <w:link w:val="Heading4"/>
    <w:uiPriority w:val="9"/>
    <w:semiHidden/>
    <w:rsid w:val="004F6AE5"/>
    <w:rPr>
      <w:rFonts w:asciiTheme="majorHAnsi" w:eastAsiaTheme="majorEastAsia" w:hAnsiTheme="majorHAnsi"/>
      <w:iCs w:val="0"/>
    </w:rPr>
  </w:style>
  <w:style w:type="paragraph" w:styleId="NormalWeb">
    <w:name w:val="Normal (Web)"/>
    <w:basedOn w:val="Normal"/>
    <w:uiPriority w:val="99"/>
    <w:semiHidden/>
    <w:unhideWhenUsed/>
    <w:rsid w:val="004F6AE5"/>
    <w:pPr>
      <w:spacing w:before="100" w:beforeAutospacing="1" w:after="100" w:afterAutospacing="1" w:line="240" w:lineRule="auto"/>
    </w:pPr>
    <w:rPr>
      <w:rFonts w:ascii="Times New Roman" w:eastAsia="Times New Roman" w:hAnsi="Times New Roman" w:cs="Times New Roman"/>
      <w:iCs w:val="0"/>
      <w:szCs w:val="24"/>
    </w:rPr>
  </w:style>
  <w:style w:type="character" w:customStyle="1" w:styleId="Heading5Char">
    <w:name w:val="Heading 5 Char"/>
    <w:basedOn w:val="DefaultParagraphFont"/>
    <w:link w:val="Heading5"/>
    <w:uiPriority w:val="9"/>
    <w:semiHidden/>
    <w:rsid w:val="004F6AE5"/>
    <w:rPr>
      <w:rFonts w:asciiTheme="majorHAnsi" w:eastAsiaTheme="majorEastAsia" w:hAnsiTheme="majorHAnsi"/>
      <w:i w:val="0"/>
    </w:rPr>
  </w:style>
  <w:style w:type="character" w:customStyle="1" w:styleId="Heading6Char">
    <w:name w:val="Heading 6 Char"/>
    <w:basedOn w:val="DefaultParagraphFont"/>
    <w:link w:val="Heading6"/>
    <w:uiPriority w:val="9"/>
    <w:semiHidden/>
    <w:rsid w:val="004F6AE5"/>
    <w:rPr>
      <w:rFonts w:asciiTheme="majorHAnsi" w:eastAsiaTheme="majorEastAsia" w:hAnsiTheme="majorHAnsi"/>
      <w:i w:val="0"/>
      <w:color w:val="1F4D78" w:themeColor="accent1" w:themeShade="7F"/>
    </w:rPr>
  </w:style>
  <w:style w:type="character" w:customStyle="1" w:styleId="markedcontent">
    <w:name w:val="markedcontent"/>
    <w:basedOn w:val="DefaultParagraphFont"/>
    <w:rsid w:val="004F6AE5"/>
  </w:style>
  <w:style w:type="character" w:customStyle="1" w:styleId="highlight">
    <w:name w:val="highlight"/>
    <w:basedOn w:val="DefaultParagraphFont"/>
    <w:rsid w:val="004F6AE5"/>
  </w:style>
  <w:style w:type="character" w:styleId="Emphasis">
    <w:name w:val="Emphasis"/>
    <w:basedOn w:val="DefaultParagraphFont"/>
    <w:uiPriority w:val="20"/>
    <w:qFormat/>
    <w:rsid w:val="004F6AE5"/>
    <w:rPr>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670594">
      <w:bodyDiv w:val="1"/>
      <w:marLeft w:val="0"/>
      <w:marRight w:val="0"/>
      <w:marTop w:val="0"/>
      <w:marBottom w:val="0"/>
      <w:divBdr>
        <w:top w:val="none" w:sz="0" w:space="0" w:color="auto"/>
        <w:left w:val="none" w:sz="0" w:space="0" w:color="auto"/>
        <w:bottom w:val="none" w:sz="0" w:space="0" w:color="auto"/>
        <w:right w:val="none" w:sz="0" w:space="0" w:color="auto"/>
      </w:divBdr>
    </w:div>
    <w:div w:id="175061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ijep.com/pdf/IJEP25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lbaptist.edu/teaching-learning-center/teaching/teaching-resources/high-impact-practice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California Baptist University</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Murcray</dc:creator>
  <cp:keywords/>
  <dc:description/>
  <cp:lastModifiedBy>Ted Murcray</cp:lastModifiedBy>
  <cp:revision>2</cp:revision>
  <dcterms:created xsi:type="dcterms:W3CDTF">2023-07-03T18:15:00Z</dcterms:created>
  <dcterms:modified xsi:type="dcterms:W3CDTF">2023-07-03T18:15:00Z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5198e5656065e1a018499a3c0d303534ceec502241248511fadf9934c5df6cd9</vt:lpwstr>
  </property>
</Properties>
</file>