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5"/>
        <w:keepNext w:val="0"/>
        <w:keepLines w:val="0"/>
        <w:spacing w:after="40" w:before="220" w:lineRule="auto"/>
        <w:rPr>
          <w:rFonts w:ascii="Times New Roman" w:cs="Times New Roman" w:eastAsia="Times New Roman" w:hAnsi="Times New Roman"/>
          <w:b w:val="1"/>
          <w:bCs w:val="1"/>
          <w:color w:val="000000"/>
          <w:sz w:val="20"/>
          <w:szCs w:val="20"/>
        </w:rPr>
      </w:pPr>
      <w:bookmarkStart w:colFirst="0" w:colLast="0" w:name="_b2s7tettpce" w:id="0"/>
      <w:bookmarkEnd w:id="0"/>
      <w:r w:rsidDel="00000000" w:rsidR="00000000" w:rsidRPr="00000000">
        <w:rPr>
          <w:rFonts w:ascii="Times New Roman" w:cs="Times New Roman" w:eastAsia="Times New Roman" w:hAnsi="Times New Roman"/>
          <w:b w:val="1"/>
          <w:bCs w:val="1"/>
          <w:color w:val="000000"/>
          <w:sz w:val="20"/>
          <w:szCs w:val="20"/>
          <w:highlight w:val="yellow"/>
          <w:rtl w:val="0"/>
        </w:rPr>
        <w:t xml:space="preserve">I</w:t>
      </w:r>
      <w:r w:rsidDel="00000000" w:rsidR="00000000" w:rsidRPr="00000000">
        <w:rPr>
          <w:rFonts w:ascii="Times New Roman" w:cs="Times New Roman" w:eastAsia="Times New Roman" w:hAnsi="Times New Roman"/>
          <w:b w:val="1"/>
          <w:bCs w:val="1"/>
          <w:color w:val="000000"/>
          <w:sz w:val="20"/>
          <w:szCs w:val="20"/>
          <w:rtl w:val="0"/>
        </w:rPr>
        <w:t xml:space="preserve">mplement a personal and social ethic that results in informed participation in multiple levels of community (ESb).</w:t>
      </w:r>
    </w:p>
    <w:p w:rsidR="00000000" w:rsidDel="00000000" w:rsidP="00000000" w:rsidRDefault="00000000" w:rsidRPr="00000000" w14:paraId="00000002">
      <w:pPr>
        <w:ind w:left="0" w:firstLine="0"/>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03">
      <w:pPr>
        <w:ind w:left="0"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Students in all majors should be able to identify, discuss, and apply personal and social ethics to specific communities (e.g., church, workplace, and/or profession in the local, national, or international context). They should be able to resolve moral dilemmas based on their own personal ethical reasoning. This USO may be evidenced in presentations, essays, reflection on volunteer hours, reflections on service learning, or other coursework.*   </w:t>
      </w:r>
    </w:p>
    <w:p w:rsidR="00000000" w:rsidDel="00000000" w:rsidP="00000000" w:rsidRDefault="00000000" w:rsidRPr="00000000" w14:paraId="00000004">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bl>
      <w:tblPr>
        <w:tblStyle w:val="Table1"/>
        <w:tblW w:w="131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35"/>
        <w:gridCol w:w="1515"/>
        <w:gridCol w:w="1770"/>
        <w:gridCol w:w="2565"/>
        <w:gridCol w:w="1800"/>
        <w:gridCol w:w="1935"/>
        <w:gridCol w:w="2235"/>
        <w:tblGridChange w:id="0">
          <w:tblGrid>
            <w:gridCol w:w="1335"/>
            <w:gridCol w:w="1515"/>
            <w:gridCol w:w="1770"/>
            <w:gridCol w:w="2565"/>
            <w:gridCol w:w="1800"/>
            <w:gridCol w:w="1935"/>
            <w:gridCol w:w="2235"/>
          </w:tblGrid>
        </w:tblGridChange>
      </w:tblGrid>
      <w:tr>
        <w:trPr>
          <w:cantSplit w:val="0"/>
          <w:trHeight w:val="255"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6">
            <w:pPr>
              <w:rPr>
                <w:b w:val="1"/>
                <w:bCs w:val="1"/>
                <w:i w:val="1"/>
                <w:iCs w:val="1"/>
                <w:sz w:val="18"/>
                <w:szCs w:val="18"/>
              </w:rPr>
            </w:pPr>
            <w:r w:rsidDel="00000000" w:rsidR="00000000" w:rsidRPr="00000000">
              <w:rPr>
                <w:b w:val="1"/>
                <w:bCs w:val="1"/>
                <w:i w:val="1"/>
                <w:iCs w:val="1"/>
                <w:sz w:val="18"/>
                <w:szCs w:val="18"/>
                <w:rtl w:val="0"/>
              </w:rPr>
              <w:t xml:space="preserve"> Domain</w:t>
            </w:r>
          </w:p>
        </w:tc>
        <w:tc>
          <w:tcPr>
            <w:tcBorders>
              <w:top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7">
            <w:pPr>
              <w:rPr>
                <w:b w:val="1"/>
                <w:bCs w:val="1"/>
                <w:sz w:val="20"/>
                <w:szCs w:val="20"/>
              </w:rPr>
            </w:pPr>
            <w:r w:rsidDel="00000000" w:rsidR="00000000" w:rsidRPr="00000000">
              <w:rPr>
                <w:b w:val="1"/>
                <w:bCs w:val="1"/>
                <w:sz w:val="20"/>
                <w:szCs w:val="20"/>
                <w:rtl w:val="0"/>
              </w:rPr>
              <w:t xml:space="preserve">Generative</w:t>
            </w:r>
          </w:p>
        </w:tc>
        <w:tc>
          <w:tcPr>
            <w:tcBorders>
              <w:top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8">
            <w:pPr>
              <w:rPr>
                <w:b w:val="1"/>
                <w:bCs w:val="1"/>
                <w:sz w:val="20"/>
                <w:szCs w:val="20"/>
              </w:rPr>
            </w:pPr>
            <w:r w:rsidDel="00000000" w:rsidR="00000000" w:rsidRPr="00000000">
              <w:rPr>
                <w:b w:val="1"/>
                <w:bCs w:val="1"/>
                <w:sz w:val="20"/>
                <w:szCs w:val="20"/>
                <w:rtl w:val="0"/>
              </w:rPr>
              <w:t xml:space="preserve">Mastery</w:t>
            </w:r>
          </w:p>
        </w:tc>
        <w:tc>
          <w:tcPr>
            <w:tcBorders>
              <w:top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9">
            <w:pPr>
              <w:rPr>
                <w:b w:val="1"/>
                <w:bCs w:val="1"/>
                <w:sz w:val="20"/>
                <w:szCs w:val="20"/>
              </w:rPr>
            </w:pPr>
            <w:r w:rsidDel="00000000" w:rsidR="00000000" w:rsidRPr="00000000">
              <w:rPr>
                <w:b w:val="1"/>
                <w:bCs w:val="1"/>
                <w:sz w:val="20"/>
                <w:szCs w:val="20"/>
                <w:rtl w:val="0"/>
              </w:rPr>
              <w:t xml:space="preserve">Exemplary</w:t>
            </w:r>
          </w:p>
        </w:tc>
        <w:tc>
          <w:tcPr>
            <w:tcBorders>
              <w:top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A">
            <w:pPr>
              <w:rPr>
                <w:b w:val="1"/>
                <w:bCs w:val="1"/>
                <w:sz w:val="20"/>
                <w:szCs w:val="20"/>
              </w:rPr>
            </w:pPr>
            <w:r w:rsidDel="00000000" w:rsidR="00000000" w:rsidRPr="00000000">
              <w:rPr>
                <w:b w:val="1"/>
                <w:bCs w:val="1"/>
                <w:sz w:val="20"/>
                <w:szCs w:val="20"/>
                <w:rtl w:val="0"/>
              </w:rPr>
              <w:t xml:space="preserve">Accomplished</w:t>
            </w:r>
          </w:p>
        </w:tc>
        <w:tc>
          <w:tcPr>
            <w:tcBorders>
              <w:top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B">
            <w:pPr>
              <w:rPr>
                <w:b w:val="1"/>
                <w:bCs w:val="1"/>
                <w:sz w:val="20"/>
                <w:szCs w:val="20"/>
              </w:rPr>
            </w:pPr>
            <w:r w:rsidDel="00000000" w:rsidR="00000000" w:rsidRPr="00000000">
              <w:rPr>
                <w:b w:val="1"/>
                <w:bCs w:val="1"/>
                <w:sz w:val="20"/>
                <w:szCs w:val="20"/>
                <w:rtl w:val="0"/>
              </w:rPr>
              <w:t xml:space="preserve">Developing</w:t>
            </w:r>
          </w:p>
        </w:tc>
        <w:tc>
          <w:tcPr>
            <w:tcBorders>
              <w:top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C">
            <w:pPr>
              <w:rPr>
                <w:b w:val="1"/>
                <w:bCs w:val="1"/>
                <w:sz w:val="20"/>
                <w:szCs w:val="20"/>
              </w:rPr>
            </w:pPr>
            <w:r w:rsidDel="00000000" w:rsidR="00000000" w:rsidRPr="00000000">
              <w:rPr>
                <w:b w:val="1"/>
                <w:bCs w:val="1"/>
                <w:sz w:val="20"/>
                <w:szCs w:val="20"/>
                <w:rtl w:val="0"/>
              </w:rPr>
              <w:t xml:space="preserve">Beginning</w:t>
            </w:r>
          </w:p>
        </w:tc>
      </w:tr>
      <w:tr>
        <w:trPr>
          <w:cantSplit w:val="0"/>
          <w:trHeight w:val="216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D">
            <w:pPr>
              <w:rPr>
                <w:i w:val="1"/>
                <w:iCs w:val="1"/>
                <w:sz w:val="18"/>
                <w:szCs w:val="18"/>
              </w:rPr>
            </w:pPr>
            <w:r w:rsidDel="00000000" w:rsidR="00000000" w:rsidRPr="00000000">
              <w:rPr>
                <w:i w:val="1"/>
                <w:iCs w:val="1"/>
                <w:sz w:val="18"/>
                <w:szCs w:val="18"/>
                <w:rtl w:val="0"/>
              </w:rPr>
              <w:t xml:space="preserve">Informed personal and social </w:t>
            </w:r>
            <w:r w:rsidDel="00000000" w:rsidR="00000000" w:rsidRPr="00000000">
              <w:rPr>
                <w:i w:val="1"/>
                <w:iCs w:val="1"/>
                <w:sz w:val="18"/>
                <w:szCs w:val="18"/>
                <w:rtl w:val="0"/>
              </w:rPr>
              <w:t xml:space="preserve">ethics</w:t>
            </w:r>
            <w:r w:rsidDel="00000000" w:rsidR="00000000" w:rsidRPr="00000000">
              <w:rPr>
                <w:i w:val="1"/>
                <w:iCs w:val="1"/>
                <w:sz w:val="18"/>
                <w:szCs w:val="18"/>
                <w:rtl w:val="0"/>
              </w:rPr>
              <w:t xml:space="preserv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E">
            <w:pPr>
              <w:rPr>
                <w:sz w:val="20"/>
                <w:szCs w:val="20"/>
              </w:rPr>
            </w:pPr>
            <w:r w:rsidDel="00000000" w:rsidR="00000000" w:rsidRPr="00000000">
              <w:rPr>
                <w:sz w:val="20"/>
                <w:szCs w:val="20"/>
                <w:rtl w:val="0"/>
              </w:rPr>
              <w:t xml:space="preserve">Creates a process for personal and social values to solve ethical dilemmas.</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F">
            <w:pPr>
              <w:rPr>
                <w:sz w:val="20"/>
                <w:szCs w:val="20"/>
              </w:rPr>
            </w:pPr>
            <w:r w:rsidDel="00000000" w:rsidR="00000000" w:rsidRPr="00000000">
              <w:rPr>
                <w:sz w:val="20"/>
                <w:szCs w:val="20"/>
                <w:rtl w:val="0"/>
              </w:rPr>
              <w:t xml:space="preserve">Defends an ethical framework that is grounded in personal values, social responsibility, and respect for others.  </w:t>
            </w:r>
          </w:p>
          <w:p w:rsidR="00000000" w:rsidDel="00000000" w:rsidP="00000000" w:rsidRDefault="00000000" w:rsidRPr="00000000" w14:paraId="00000010">
            <w:pPr>
              <w:rPr>
                <w:sz w:val="20"/>
                <w:szCs w:val="20"/>
              </w:rPr>
            </w:pPr>
            <w:r w:rsidDel="00000000" w:rsidR="00000000" w:rsidRPr="00000000">
              <w:rPr>
                <w:rtl w:val="0"/>
              </w:rPr>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1">
            <w:pPr>
              <w:rPr>
                <w:sz w:val="20"/>
                <w:szCs w:val="20"/>
              </w:rPr>
            </w:pPr>
            <w:r w:rsidDel="00000000" w:rsidR="00000000" w:rsidRPr="00000000">
              <w:rPr>
                <w:sz w:val="20"/>
                <w:szCs w:val="20"/>
                <w:rtl w:val="0"/>
              </w:rPr>
              <w:t xml:space="preserve">Synthesizes ethical principles to form an ethical framework that is grounded in personal values, social responsibility, and respect for others.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2">
            <w:pPr>
              <w:rPr>
                <w:sz w:val="20"/>
                <w:szCs w:val="20"/>
              </w:rPr>
            </w:pPr>
            <w:r w:rsidDel="00000000" w:rsidR="00000000" w:rsidRPr="00000000">
              <w:rPr>
                <w:sz w:val="20"/>
                <w:szCs w:val="20"/>
                <w:rtl w:val="0"/>
              </w:rPr>
              <w:t xml:space="preserve">Evaluates ethical principles that are grounded in personal values, social responsibility, and respect for others.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3">
            <w:pPr>
              <w:rPr>
                <w:sz w:val="20"/>
                <w:szCs w:val="20"/>
              </w:rPr>
            </w:pPr>
            <w:r w:rsidDel="00000000" w:rsidR="00000000" w:rsidRPr="00000000">
              <w:rPr>
                <w:sz w:val="20"/>
                <w:szCs w:val="20"/>
                <w:rtl w:val="0"/>
              </w:rPr>
              <w:t xml:space="preserve">Describes the ethical standards of a professional organization related to their career.</w:t>
            </w:r>
          </w:p>
          <w:p w:rsidR="00000000" w:rsidDel="00000000" w:rsidP="00000000" w:rsidRDefault="00000000" w:rsidRPr="00000000" w14:paraId="00000014">
            <w:pPr>
              <w:rPr>
                <w:sz w:val="20"/>
                <w:szCs w:val="20"/>
              </w:rPr>
            </w:pPr>
            <w:r w:rsidDel="00000000" w:rsidR="00000000" w:rsidRPr="00000000">
              <w:rPr>
                <w:sz w:val="20"/>
                <w:szCs w:val="20"/>
                <w:rtl w:val="0"/>
              </w:rPr>
              <w:t xml:space="preserve">Identifies one or more sources of moral authority.</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5">
            <w:pPr>
              <w:rPr>
                <w:sz w:val="20"/>
                <w:szCs w:val="20"/>
              </w:rPr>
            </w:pPr>
            <w:r w:rsidDel="00000000" w:rsidR="00000000" w:rsidRPr="00000000">
              <w:rPr>
                <w:sz w:val="20"/>
                <w:szCs w:val="20"/>
                <w:rtl w:val="0"/>
              </w:rPr>
              <w:t xml:space="preserve">Identifies basic concepts related to personal and social ethics.</w:t>
            </w:r>
          </w:p>
        </w:tc>
      </w:tr>
      <w:tr>
        <w:trPr>
          <w:cantSplit w:val="0"/>
          <w:trHeight w:val="396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6">
            <w:pPr>
              <w:rPr>
                <w:i w:val="1"/>
                <w:iCs w:val="1"/>
                <w:sz w:val="18"/>
                <w:szCs w:val="18"/>
              </w:rPr>
            </w:pPr>
            <w:r w:rsidDel="00000000" w:rsidR="00000000" w:rsidRPr="00000000">
              <w:rPr>
                <w:i w:val="1"/>
                <w:iCs w:val="1"/>
                <w:sz w:val="18"/>
                <w:szCs w:val="18"/>
                <w:rtl w:val="0"/>
              </w:rPr>
              <w:t xml:space="preserve">Participation</w:t>
            </w:r>
            <w:r w:rsidDel="00000000" w:rsidR="00000000" w:rsidRPr="00000000">
              <w:rPr>
                <w:i w:val="1"/>
                <w:iCs w:val="1"/>
                <w:sz w:val="18"/>
                <w:szCs w:val="18"/>
                <w:rtl w:val="0"/>
              </w:rPr>
              <w:t xml:space="preserve"> in multiple levels of community</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7">
            <w:pPr>
              <w:rPr>
                <w:sz w:val="20"/>
                <w:szCs w:val="20"/>
              </w:rPr>
            </w:pPr>
            <w:r w:rsidDel="00000000" w:rsidR="00000000" w:rsidRPr="00000000">
              <w:rPr>
                <w:sz w:val="20"/>
                <w:szCs w:val="20"/>
                <w:rtl w:val="0"/>
              </w:rPr>
              <w:t xml:space="preserve">Creates a process for people in multiple levels of community to apply ethical reasoning.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8">
            <w:pPr>
              <w:rPr>
                <w:sz w:val="20"/>
                <w:szCs w:val="20"/>
              </w:rPr>
            </w:pPr>
            <w:r w:rsidDel="00000000" w:rsidR="00000000" w:rsidRPr="00000000">
              <w:rPr>
                <w:sz w:val="20"/>
                <w:szCs w:val="20"/>
                <w:rtl w:val="0"/>
              </w:rPr>
              <w:t xml:space="preserve">Defends personal and social ethical decisions related  to more than two levels of community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9">
            <w:pPr>
              <w:rPr>
                <w:sz w:val="20"/>
                <w:szCs w:val="20"/>
              </w:rPr>
            </w:pPr>
            <w:r w:rsidDel="00000000" w:rsidR="00000000" w:rsidRPr="00000000">
              <w:rPr>
                <w:sz w:val="20"/>
                <w:szCs w:val="20"/>
                <w:rtl w:val="0"/>
              </w:rPr>
              <w:t xml:space="preserve">Applies personal and social ethical reasoning to more than two levels of community </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rPr>
                <w:sz w:val="20"/>
                <w:szCs w:val="20"/>
              </w:rPr>
            </w:pPr>
            <w:r w:rsidDel="00000000" w:rsidR="00000000" w:rsidRPr="00000000">
              <w:rPr>
                <w:rtl w:val="0"/>
              </w:rPr>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C">
            <w:pPr>
              <w:rPr>
                <w:sz w:val="20"/>
                <w:szCs w:val="20"/>
              </w:rPr>
            </w:pPr>
            <w:r w:rsidDel="00000000" w:rsidR="00000000" w:rsidRPr="00000000">
              <w:rPr>
                <w:sz w:val="20"/>
                <w:szCs w:val="20"/>
                <w:rtl w:val="0"/>
              </w:rPr>
              <w:t xml:space="preserve">Applies ethical reasoning to a specific community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D">
            <w:pPr>
              <w:rPr>
                <w:sz w:val="20"/>
                <w:szCs w:val="20"/>
              </w:rPr>
            </w:pPr>
            <w:r w:rsidDel="00000000" w:rsidR="00000000" w:rsidRPr="00000000">
              <w:rPr>
                <w:sz w:val="20"/>
                <w:szCs w:val="20"/>
                <w:rtl w:val="0"/>
              </w:rPr>
              <w:t xml:space="preserve">Discusses at least two social problems and positions; identifies the data available to support decision making.</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E">
            <w:pPr>
              <w:rPr>
                <w:sz w:val="20"/>
                <w:szCs w:val="20"/>
              </w:rPr>
            </w:pPr>
            <w:r w:rsidDel="00000000" w:rsidR="00000000" w:rsidRPr="00000000">
              <w:rPr>
                <w:sz w:val="20"/>
                <w:szCs w:val="20"/>
                <w:rtl w:val="0"/>
              </w:rPr>
              <w:t xml:space="preserve">Identifies an ethical dilemma faced at a level of community engagement.                       </w:t>
            </w:r>
          </w:p>
        </w:tc>
      </w:tr>
    </w:tbl>
    <w:p w:rsidR="00000000" w:rsidDel="00000000" w:rsidP="00000000" w:rsidRDefault="00000000" w:rsidRPr="00000000" w14:paraId="0000001F">
      <w:pPr>
        <w:rPr/>
      </w:pPr>
      <w:r w:rsidDel="00000000" w:rsidR="00000000" w:rsidRPr="00000000">
        <w:rPr>
          <w:rtl w:val="0"/>
        </w:rPr>
      </w:r>
    </w:p>
    <w:sectPr>
      <w:headerReference r:id="rId6" w:type="default"/>
      <w:footerReference r:id="rId7" w:type="default"/>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rPr/>
    </w:pPr>
    <w:r w:rsidDel="00000000" w:rsidR="00000000" w:rsidRPr="00000000">
      <w:rPr>
        <w:rtl w:val="0"/>
      </w:rPr>
      <w:t xml:space="preserve">*Informed by the ETHICAL REASONING VALUE rubric</w:t>
    </w:r>
  </w:p>
  <w:p w:rsidR="00000000" w:rsidDel="00000000" w:rsidP="00000000" w:rsidRDefault="00000000" w:rsidRPr="00000000" w14:paraId="00000022">
    <w:pPr>
      <w:rPr/>
    </w:pPr>
    <w:hyperlink r:id="rId1">
      <w:r w:rsidDel="00000000" w:rsidR="00000000" w:rsidRPr="00000000">
        <w:rPr>
          <w:color w:val="1155cc"/>
          <w:u w:val="single"/>
          <w:rtl w:val="0"/>
        </w:rPr>
        <w:t xml:space="preserve">https://assessment.unc.edu/wp-content/uploads/sites/1284/2022/08/AACU_ER_ValueRubric.pdf</w:t>
      </w:r>
    </w:hyperlink>
    <w:r w:rsidDel="00000000" w:rsidR="00000000" w:rsidRPr="00000000">
      <w:rPr>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rPr/>
    </w:pPr>
    <w:r w:rsidDel="00000000" w:rsidR="00000000" w:rsidRPr="00000000">
      <w:rPr>
        <w:rFonts w:ascii="Times New Roman" w:cs="Times New Roman" w:eastAsia="Times New Roman" w:hAnsi="Times New Roman"/>
        <w:b w:val="1"/>
        <w:bCs w:val="1"/>
        <w:sz w:val="36"/>
        <w:szCs w:val="36"/>
        <w:rtl w:val="0"/>
      </w:rPr>
      <w:t xml:space="preserve">USO 6 RUBRIC</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assessment.unc.edu/wp-content/uploads/sites/1284/2022/08/AACU_ER_ValueRubri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